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autoSpaceDE/>
        <w:autoSpaceDN/>
        <w:bidi w:val="0"/>
        <w:snapToGrid/>
        <w:spacing w:line="560"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autoSpaceDE/>
        <w:autoSpaceDN/>
        <w:bidi w:val="0"/>
        <w:snapToGrid/>
        <w:spacing w:line="560"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autoSpaceDE/>
        <w:autoSpaceDN/>
        <w:bidi w:val="0"/>
        <w:snapToGrid/>
        <w:spacing w:line="560"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XBJ26420142491935091</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武汉东湖新技术开发区烹鲜焙生鲜超市销售的白萝卜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2026</w:t>
      </w:r>
      <w:r>
        <w:rPr>
          <w:rFonts w:hint="eastAsia" w:eastAsia="仿宋_GB2312"/>
          <w:b w:val="0"/>
          <w:bCs w:val="0"/>
          <w:sz w:val="32"/>
          <w:szCs w:val="32"/>
          <w:lang w:val="en-US" w:eastAsia="zh-CN"/>
        </w:rPr>
        <w:t>年</w:t>
      </w:r>
      <w:bookmarkStart w:id="0" w:name="OLE_LINK1"/>
      <w:r>
        <w:rPr>
          <w:rFonts w:hint="eastAsia" w:eastAsia="仿宋_GB2312"/>
          <w:sz w:val="32"/>
          <w:szCs w:val="32"/>
          <w:lang w:val="en-US" w:eastAsia="zh-CN"/>
        </w:rPr>
        <w:t>4月</w:t>
      </w:r>
      <w:bookmarkEnd w:id="0"/>
      <w:r>
        <w:rPr>
          <w:rFonts w:hint="eastAsia" w:eastAsia="仿宋_GB2312"/>
          <w:sz w:val="32"/>
          <w:szCs w:val="32"/>
          <w:lang w:val="en-US" w:eastAsia="zh-CN"/>
        </w:rPr>
        <w:t>30日抽自武汉东湖新技术开发区烹鲜焙生鲜超市销售的白萝卜，</w:t>
      </w:r>
      <w:r>
        <w:rPr>
          <w:rFonts w:hint="eastAsia" w:eastAsia="仿宋_GB2312"/>
          <w:sz w:val="32"/>
          <w:szCs w:val="32"/>
        </w:rPr>
        <w:t>噻虫嗪项目不符合 GB 2763-2026《食品安全国家标准 食品中农药最大残留限量》要求</w:t>
      </w:r>
      <w:r>
        <w:rPr>
          <w:rFonts w:hint="eastAsia" w:eastAsia="仿宋_GB2312"/>
          <w:b w:val="0"/>
          <w:bCs w:val="0"/>
          <w:sz w:val="32"/>
          <w:szCs w:val="32"/>
          <w:lang w:val="en-US" w:eastAsia="zh-CN"/>
        </w:rPr>
        <w:t>，检验结论为不合格。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default"/>
          <w:lang w:val="en-US" w:eastAsia="zh-CN"/>
        </w:rPr>
      </w:pPr>
      <w:r>
        <w:rPr>
          <w:rFonts w:hint="eastAsia" w:ascii="楷体_GB2312" w:hAnsi="楷体_GB2312" w:eastAsia="楷体_GB2312" w:cs="楷体_GB2312"/>
          <w:sz w:val="32"/>
          <w:szCs w:val="32"/>
          <w:lang w:val="en-US" w:eastAsia="zh-CN"/>
        </w:rPr>
        <w:t>（二）对企业违法违规行为依法处罚情况。</w:t>
      </w:r>
    </w:p>
    <w:p>
      <w:pPr>
        <w:widowControl w:val="0"/>
        <w:kinsoku/>
        <w:autoSpaceDE/>
        <w:autoSpaceDN/>
        <w:adjustRightInd/>
        <w:snapToGrid/>
        <w:spacing w:line="560" w:lineRule="exact"/>
        <w:ind w:firstLine="640" w:firstLineChars="200"/>
        <w:jc w:val="both"/>
        <w:textAlignment w:val="auto"/>
        <w:rPr>
          <w:rFonts w:hint="default" w:ascii="仿宋_GB2312" w:hAnsi="仿宋_GB2312" w:eastAsia="仿宋_GB2312" w:cs="仿宋_GB2312"/>
          <w:snapToGrid/>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经查，当事人</w:t>
      </w:r>
      <w:r>
        <w:rPr>
          <w:rFonts w:hint="eastAsia" w:ascii="仿宋_GB2312" w:hAnsi="仿宋_GB2312" w:eastAsia="仿宋_GB2312" w:cs="仿宋_GB2312"/>
          <w:snapToGrid/>
          <w:kern w:val="2"/>
          <w:sz w:val="32"/>
          <w:szCs w:val="32"/>
          <w:lang w:val="en-US" w:eastAsia="zh-CN" w:bidi="ar-SA"/>
        </w:rPr>
        <w:t>销售不符合食品安全国家标准</w:t>
      </w:r>
      <w:r>
        <w:rPr>
          <w:rFonts w:hint="default" w:ascii="仿宋_GB2312" w:hAnsi="仿宋_GB2312" w:eastAsia="仿宋_GB2312" w:cs="仿宋_GB2312"/>
          <w:snapToGrid/>
          <w:kern w:val="2"/>
          <w:sz w:val="32"/>
          <w:szCs w:val="32"/>
          <w:lang w:val="en-US" w:eastAsia="zh-CN" w:bidi="ar-SA"/>
        </w:rPr>
        <w:t>的</w:t>
      </w:r>
      <w:r>
        <w:rPr>
          <w:rFonts w:hint="eastAsia" w:ascii="仿宋_GB2312" w:hAnsi="仿宋_GB2312" w:eastAsia="仿宋_GB2312" w:cs="仿宋_GB2312"/>
          <w:snapToGrid/>
          <w:kern w:val="2"/>
          <w:sz w:val="32"/>
          <w:szCs w:val="32"/>
          <w:lang w:val="en-US" w:eastAsia="zh-CN" w:bidi="ar-SA"/>
        </w:rPr>
        <w:t>白萝卜</w:t>
      </w:r>
      <w:r>
        <w:rPr>
          <w:rFonts w:hint="default" w:ascii="仿宋_GB2312" w:hAnsi="仿宋_GB2312" w:eastAsia="仿宋_GB2312" w:cs="仿宋_GB2312"/>
          <w:snapToGrid/>
          <w:kern w:val="2"/>
          <w:sz w:val="32"/>
          <w:szCs w:val="32"/>
          <w:lang w:val="en-US" w:eastAsia="zh-CN" w:bidi="ar-SA"/>
        </w:rPr>
        <w:t>的行为，违反了《食用农产品市场销售质量安全监督管理办法》第十五条第一款“禁止销售者采购、销售食品安全法第三十四条规定情形的食用农产品。”和《中华人民共和国食品安全法》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的规定</w:t>
      </w:r>
      <w:bookmarkStart w:id="1" w:name="Title"/>
      <w:r>
        <w:rPr>
          <w:rFonts w:hint="default" w:ascii="仿宋_GB2312" w:hAnsi="仿宋_GB2312" w:eastAsia="仿宋_GB2312" w:cs="仿宋_GB2312"/>
          <w:snapToGrid/>
          <w:kern w:val="2"/>
          <w:sz w:val="32"/>
          <w:szCs w:val="32"/>
          <w:lang w:val="en-US" w:eastAsia="zh-CN" w:bidi="ar-SA"/>
        </w:rPr>
        <w:t>。</w:t>
      </w:r>
      <w:bookmarkEnd w:id="1"/>
    </w:p>
    <w:p>
      <w:pPr>
        <w:pStyle w:val="2"/>
        <w:keepNext w:val="0"/>
        <w:keepLines w:val="0"/>
        <w:pageBreakBefore w:val="0"/>
        <w:widowControl w:val="0"/>
        <w:tabs>
          <w:tab w:val="left" w:pos="8395"/>
        </w:tabs>
        <w:kinsoku/>
        <w:wordWrap w:val="0"/>
        <w:overflowPunct/>
        <w:topLinePunct/>
        <w:autoSpaceDE/>
        <w:autoSpaceDN/>
        <w:bidi w:val="0"/>
        <w:snapToGrid/>
        <w:spacing w:line="560" w:lineRule="exact"/>
        <w:ind w:firstLine="627" w:firstLineChars="196"/>
        <w:textAlignment w:val="auto"/>
        <w:rPr>
          <w:rFonts w:hint="eastAsia" w:ascii="Times New Roman" w:hAnsi="Times New Roman" w:eastAsia="仿宋_GB2312" w:cs="Times New Roman"/>
          <w:b w:val="0"/>
          <w:bCs w:val="0"/>
          <w:kern w:val="2"/>
          <w:sz w:val="32"/>
          <w:szCs w:val="32"/>
          <w:lang w:val="en-US" w:eastAsia="zh-CN" w:bidi="ar-SA"/>
        </w:rPr>
      </w:pPr>
      <w:r>
        <w:rPr>
          <w:rFonts w:hint="eastAsia" w:ascii="仿宋_GB2312" w:hAnsi="仿宋_GB2312" w:eastAsia="仿宋_GB2312" w:cs="仿宋_GB2312"/>
          <w:b w:val="0"/>
          <w:bCs/>
          <w:i w:val="0"/>
          <w:iCs w:val="0"/>
          <w:caps w:val="0"/>
          <w:color w:val="auto"/>
          <w:spacing w:val="0"/>
          <w:sz w:val="32"/>
          <w:szCs w:val="32"/>
          <w:u w:val="none"/>
          <w:shd w:val="clear" w:color="auto" w:fill="FFFFFF"/>
        </w:rPr>
        <w:t>鉴于</w:t>
      </w:r>
      <w:r>
        <w:rPr>
          <w:rFonts w:hint="eastAsia" w:ascii="仿宋_GB2312" w:hAnsi="仿宋_GB2312" w:eastAsia="仿宋_GB2312" w:cs="仿宋_GB2312"/>
          <w:b w:val="0"/>
          <w:bCs w:val="0"/>
          <w:sz w:val="32"/>
          <w:szCs w:val="32"/>
          <w:lang w:val="en-US" w:eastAsia="zh-CN"/>
        </w:rPr>
        <w:t>当事人案发后积极配合调查，如实陈述违法事实，主动提供情况说明，</w:t>
      </w:r>
      <w:r>
        <w:rPr>
          <w:rFonts w:hint="eastAsia" w:ascii="仿宋_GB2312" w:hAnsi="仿宋_GB2312" w:eastAsia="仿宋_GB2312" w:cs="仿宋_GB2312"/>
          <w:b w:val="0"/>
          <w:bCs/>
          <w:i w:val="0"/>
          <w:iCs w:val="0"/>
          <w:caps w:val="0"/>
          <w:color w:val="auto"/>
          <w:spacing w:val="0"/>
          <w:sz w:val="32"/>
          <w:szCs w:val="32"/>
          <w:u w:val="none"/>
          <w:shd w:val="clear" w:color="auto" w:fill="FFFFFF"/>
        </w:rPr>
        <w:t>如实说明其进货来源</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i w:val="0"/>
          <w:iCs w:val="0"/>
          <w:caps w:val="0"/>
          <w:color w:val="auto"/>
          <w:spacing w:val="0"/>
          <w:sz w:val="32"/>
          <w:szCs w:val="32"/>
          <w:u w:val="none"/>
          <w:shd w:val="clear" w:color="auto" w:fill="FFFFFF"/>
        </w:rPr>
        <w:t>进货时履行了进货查验义务，不知道所经营的该批</w:t>
      </w:r>
      <w:r>
        <w:rPr>
          <w:rFonts w:hint="eastAsia" w:ascii="仿宋_GB2312" w:hAnsi="仿宋_GB2312" w:eastAsia="仿宋_GB2312" w:cs="仿宋_GB2312"/>
          <w:b w:val="0"/>
          <w:bCs/>
          <w:i w:val="0"/>
          <w:iCs w:val="0"/>
          <w:caps w:val="0"/>
          <w:color w:val="auto"/>
          <w:spacing w:val="0"/>
          <w:sz w:val="32"/>
          <w:szCs w:val="32"/>
          <w:u w:val="none"/>
          <w:shd w:val="clear" w:color="auto" w:fill="FFFFFF"/>
          <w:lang w:val="en-US" w:eastAsia="zh-CN"/>
        </w:rPr>
        <w:t>次白萝卜</w:t>
      </w:r>
      <w:r>
        <w:rPr>
          <w:rFonts w:hint="eastAsia" w:ascii="仿宋_GB2312" w:hAnsi="仿宋_GB2312" w:eastAsia="仿宋_GB2312" w:cs="仿宋_GB2312"/>
          <w:b w:val="0"/>
          <w:bCs/>
          <w:i w:val="0"/>
          <w:iCs w:val="0"/>
          <w:caps w:val="0"/>
          <w:color w:val="auto"/>
          <w:spacing w:val="0"/>
          <w:sz w:val="32"/>
          <w:szCs w:val="32"/>
          <w:u w:val="none"/>
          <w:shd w:val="clear" w:color="auto" w:fill="FFFFFF"/>
        </w:rPr>
        <w:t>不合格</w:t>
      </w:r>
      <w:r>
        <w:rPr>
          <w:rFonts w:hint="eastAsia" w:ascii="仿宋_GB2312" w:hAnsi="仿宋_GB2312" w:eastAsia="仿宋_GB2312" w:cs="仿宋_GB2312"/>
          <w:b w:val="0"/>
          <w:bCs/>
          <w:i w:val="0"/>
          <w:iCs w:val="0"/>
          <w:caps w:val="0"/>
          <w:color w:val="auto"/>
          <w:spacing w:val="0"/>
          <w:sz w:val="32"/>
          <w:szCs w:val="32"/>
          <w:u w:val="none"/>
          <w:shd w:val="clear" w:color="auto" w:fill="FFFFFF"/>
          <w:lang w:eastAsia="zh-CN"/>
        </w:rPr>
        <w:t>，</w:t>
      </w:r>
      <w:r>
        <w:rPr>
          <w:rFonts w:hint="eastAsia" w:ascii="仿宋_GB2312" w:hAnsi="仿宋_GB2312" w:eastAsia="仿宋_GB2312" w:cs="仿宋_GB2312"/>
          <w:color w:val="auto"/>
          <w:kern w:val="0"/>
          <w:sz w:val="32"/>
          <w:szCs w:val="32"/>
          <w:lang w:val="en-US" w:eastAsia="zh-CN"/>
        </w:rPr>
        <w:t>符合《食用农产品市场销售质量安全监督管理办法》第四十八条“</w:t>
      </w:r>
      <w:r>
        <w:rPr>
          <w:rFonts w:hint="eastAsia" w:ascii="仿宋_GB2312" w:hAnsi="仿宋_GB2312" w:eastAsia="仿宋_GB2312" w:cs="仿宋_GB2312"/>
          <w:b w:val="0"/>
          <w:bCs w:val="0"/>
          <w:sz w:val="32"/>
          <w:szCs w:val="32"/>
        </w:rPr>
        <w:t>销售者履行了本办法规定的食用农产品进货查验等义务，有充分证据证明其不知道所采购的食用农产品不符合食品安全标准，并能如实说明其进货来源的，可以免予处罚，但应当依法没收其不符合食品安全标准的食用农产品；造成人身、财产或者其他损害的，依法承担赔偿责任。</w:t>
      </w:r>
      <w:r>
        <w:rPr>
          <w:rFonts w:hint="eastAsia" w:ascii="仿宋_GB2312" w:hAnsi="仿宋_GB2312" w:eastAsia="仿宋_GB2312" w:cs="仿宋_GB2312"/>
          <w:b w:val="0"/>
          <w:bCs w:val="0"/>
          <w:sz w:val="32"/>
          <w:szCs w:val="32"/>
          <w:lang w:val="en-US" w:eastAsia="zh-CN"/>
        </w:rPr>
        <w:t>”所规定免于处罚的情形,</w:t>
      </w:r>
      <w:r>
        <w:rPr>
          <w:rFonts w:hint="eastAsia" w:ascii="仿宋_GB2312" w:hAnsi="仿宋_GB2312" w:eastAsia="仿宋_GB2312" w:cs="仿宋_GB2312"/>
          <w:b w:val="0"/>
          <w:bCs w:val="0"/>
          <w:color w:val="auto"/>
          <w:sz w:val="32"/>
          <w:szCs w:val="32"/>
          <w:highlight w:val="none"/>
          <w:u w:val="none"/>
          <w:lang w:val="en-US" w:eastAsia="zh-CN"/>
        </w:rPr>
        <w:t>我局</w:t>
      </w:r>
      <w:r>
        <w:rPr>
          <w:rFonts w:hint="eastAsia" w:ascii="Times New Roman" w:hAnsi="Times New Roman" w:eastAsia="仿宋_GB2312" w:cs="Times New Roman"/>
          <w:b w:val="0"/>
          <w:bCs w:val="0"/>
          <w:kern w:val="2"/>
          <w:sz w:val="32"/>
          <w:szCs w:val="32"/>
          <w:lang w:val="en-US" w:eastAsia="zh-CN" w:bidi="ar-SA"/>
        </w:rPr>
        <w:t>决定对当事人</w:t>
      </w:r>
      <w:r>
        <w:rPr>
          <w:rFonts w:hint="eastAsia" w:ascii="仿宋_GB2312" w:hAnsi="仿宋_GB2312" w:eastAsia="仿宋_GB2312" w:cs="仿宋_GB2312"/>
          <w:b w:val="0"/>
          <w:bCs w:val="0"/>
          <w:color w:val="auto"/>
          <w:sz w:val="32"/>
          <w:szCs w:val="32"/>
          <w:highlight w:val="none"/>
          <w:u w:val="none"/>
          <w:lang w:val="en-US" w:eastAsia="zh-CN"/>
        </w:rPr>
        <w:t>不予行政处罚。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b w:val="0"/>
          <w:bCs w:val="0"/>
          <w:sz w:val="32"/>
          <w:szCs w:val="32"/>
          <w:lang w:val="en-US" w:eastAsia="zh-CN"/>
        </w:rPr>
      </w:pPr>
      <w:r>
        <w:rPr>
          <w:rFonts w:hint="eastAsia" w:eastAsia="仿宋_GB2312"/>
          <w:sz w:val="32"/>
          <w:szCs w:val="32"/>
          <w:lang w:eastAsia="zh-CN"/>
        </w:rPr>
        <w:t>我局执法人</w:t>
      </w:r>
      <w:r>
        <w:rPr>
          <w:rFonts w:hint="eastAsia" w:ascii="Times New Roman" w:hAnsi="Times New Roman" w:eastAsia="仿宋_GB2312" w:cs="Times New Roman"/>
          <w:b w:val="0"/>
          <w:bCs w:val="0"/>
          <w:sz w:val="32"/>
          <w:szCs w:val="32"/>
          <w:lang w:val="en-US" w:eastAsia="zh-CN"/>
        </w:rPr>
        <w:t>员对该经营单位进行了全面检查，该单位积极配合调查，如实说明涉案产品来源，提供了</w:t>
      </w:r>
      <w:r>
        <w:rPr>
          <w:rFonts w:hint="eastAsia" w:ascii="仿宋_GB2312" w:hAnsi="仿宋_GB2312" w:eastAsia="仿宋_GB2312" w:cs="仿宋_GB2312"/>
          <w:color w:val="auto"/>
          <w:kern w:val="0"/>
          <w:sz w:val="32"/>
          <w:szCs w:val="32"/>
          <w:lang w:val="en-US" w:eastAsia="zh-CN"/>
        </w:rPr>
        <w:t>供货商的</w:t>
      </w:r>
      <w:r>
        <w:rPr>
          <w:rFonts w:hint="eastAsia" w:eastAsia="仿宋_GB2312"/>
          <w:sz w:val="32"/>
          <w:szCs w:val="32"/>
          <w:lang w:val="en-US" w:eastAsia="zh-CN"/>
        </w:rPr>
        <w:t>《</w:t>
      </w:r>
      <w:r>
        <w:rPr>
          <w:rFonts w:hint="eastAsia" w:ascii="仿宋_GB2312" w:hAnsi="仿宋_GB2312" w:eastAsia="仿宋_GB2312" w:cs="仿宋_GB2312"/>
          <w:color w:val="auto"/>
          <w:kern w:val="0"/>
          <w:sz w:val="32"/>
          <w:szCs w:val="32"/>
          <w:lang w:val="en-US" w:eastAsia="zh-CN"/>
        </w:rPr>
        <w:t>营业执照</w:t>
      </w:r>
      <w:r>
        <w:rPr>
          <w:rFonts w:hint="eastAsia" w:eastAsia="仿宋_GB2312"/>
          <w:sz w:val="32"/>
          <w:szCs w:val="32"/>
          <w:lang w:val="en-US" w:eastAsia="zh-CN"/>
        </w:rPr>
        <w:t>》、</w:t>
      </w:r>
      <w:r>
        <w:rPr>
          <w:rFonts w:hint="eastAsia" w:ascii="仿宋_GB2312" w:hAnsi="仿宋_GB2312" w:eastAsia="仿宋_GB2312" w:cs="仿宋_GB2312"/>
          <w:color w:val="auto"/>
          <w:sz w:val="32"/>
          <w:szCs w:val="32"/>
          <w:lang w:val="en-US" w:eastAsia="zh-CN"/>
        </w:rPr>
        <w:t>进货单、和检验报告</w:t>
      </w:r>
      <w:r>
        <w:rPr>
          <w:rFonts w:hint="eastAsia" w:ascii="Times New Roman" w:hAnsi="Times New Roman" w:eastAsia="仿宋_GB2312" w:cs="Times New Roman"/>
          <w:b w:val="0"/>
          <w:bCs w:val="0"/>
          <w:sz w:val="32"/>
          <w:szCs w:val="32"/>
          <w:lang w:val="en-US" w:eastAsia="zh-CN"/>
        </w:rPr>
        <w:t>等相关证明文件。针对此次不合格情况，该单位已制定整改措施：</w:t>
      </w:r>
      <w:r>
        <w:rPr>
          <w:rFonts w:hint="eastAsia" w:eastAsia="仿宋_GB2312" w:cs="Times New Roman"/>
          <w:b w:val="0"/>
          <w:bCs w:val="0"/>
          <w:sz w:val="32"/>
          <w:szCs w:val="32"/>
          <w:lang w:val="en-US" w:eastAsia="zh-CN"/>
        </w:rPr>
        <w:t>一是严格加强管理力度，及时更换供应商</w:t>
      </w:r>
      <w:r>
        <w:rPr>
          <w:rFonts w:hint="eastAsia" w:eastAsia="仿宋_GB2312"/>
          <w:sz w:val="32"/>
          <w:szCs w:val="32"/>
          <w:lang w:val="en-US" w:eastAsia="zh-CN"/>
        </w:rPr>
        <w:t>；二是继续履行抽查力度，严格落实进货查验义务。</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eastAsia="仿宋_GB2312"/>
          <w:sz w:val="32"/>
          <w:szCs w:val="32"/>
          <w:lang w:val="en-US" w:eastAsia="zh-CN"/>
        </w:rPr>
      </w:pP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8</w:t>
      </w:r>
      <w:r>
        <w:rPr>
          <w:rFonts w:hint="default" w:eastAsia="仿宋_GB2312"/>
          <w:sz w:val="32"/>
          <w:szCs w:val="32"/>
          <w:lang w:val="en-US" w:eastAsia="zh-CN"/>
        </w:rPr>
        <w:t>月</w:t>
      </w:r>
      <w:r>
        <w:rPr>
          <w:rFonts w:hint="eastAsia" w:eastAsia="仿宋_GB2312"/>
          <w:sz w:val="32"/>
          <w:szCs w:val="32"/>
          <w:lang w:val="en-US" w:eastAsia="zh-CN"/>
        </w:rPr>
        <w:t>12</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E42A13"/>
    <w:rsid w:val="05F91121"/>
    <w:rsid w:val="06245964"/>
    <w:rsid w:val="06A42B48"/>
    <w:rsid w:val="06A7211B"/>
    <w:rsid w:val="06B27233"/>
    <w:rsid w:val="06CB31C5"/>
    <w:rsid w:val="06D363B8"/>
    <w:rsid w:val="06E76DB9"/>
    <w:rsid w:val="0733359A"/>
    <w:rsid w:val="07862CB6"/>
    <w:rsid w:val="07883506"/>
    <w:rsid w:val="079414C1"/>
    <w:rsid w:val="07F20132"/>
    <w:rsid w:val="08543D87"/>
    <w:rsid w:val="08602BA8"/>
    <w:rsid w:val="08FA46E1"/>
    <w:rsid w:val="09C70100"/>
    <w:rsid w:val="09D5198F"/>
    <w:rsid w:val="09E76206"/>
    <w:rsid w:val="09F105B3"/>
    <w:rsid w:val="0A0D17E8"/>
    <w:rsid w:val="0A2819F5"/>
    <w:rsid w:val="0A910564"/>
    <w:rsid w:val="0AAD2736"/>
    <w:rsid w:val="0AFE3BC3"/>
    <w:rsid w:val="0BE00729"/>
    <w:rsid w:val="0BE63BCF"/>
    <w:rsid w:val="0C015D7D"/>
    <w:rsid w:val="0C660740"/>
    <w:rsid w:val="0CD27E67"/>
    <w:rsid w:val="0D7231BC"/>
    <w:rsid w:val="0DBB3146"/>
    <w:rsid w:val="0E3623AE"/>
    <w:rsid w:val="0E562FC0"/>
    <w:rsid w:val="0E762F46"/>
    <w:rsid w:val="0EFE518C"/>
    <w:rsid w:val="0F812DD5"/>
    <w:rsid w:val="0F844CC6"/>
    <w:rsid w:val="0FC4221B"/>
    <w:rsid w:val="0FEA5B0F"/>
    <w:rsid w:val="0FFD229E"/>
    <w:rsid w:val="1078223F"/>
    <w:rsid w:val="10B26BF4"/>
    <w:rsid w:val="11EE54F1"/>
    <w:rsid w:val="11FA1E15"/>
    <w:rsid w:val="134F34A6"/>
    <w:rsid w:val="13802757"/>
    <w:rsid w:val="1391711A"/>
    <w:rsid w:val="13AD648F"/>
    <w:rsid w:val="141D2C86"/>
    <w:rsid w:val="1428264A"/>
    <w:rsid w:val="148215ED"/>
    <w:rsid w:val="14D85C78"/>
    <w:rsid w:val="151128EB"/>
    <w:rsid w:val="154E1950"/>
    <w:rsid w:val="158F59EA"/>
    <w:rsid w:val="15C50DAE"/>
    <w:rsid w:val="16AB2FDC"/>
    <w:rsid w:val="16B06B85"/>
    <w:rsid w:val="178222B0"/>
    <w:rsid w:val="17D104A9"/>
    <w:rsid w:val="17DD6436"/>
    <w:rsid w:val="18157E41"/>
    <w:rsid w:val="184A0D05"/>
    <w:rsid w:val="185C7C74"/>
    <w:rsid w:val="18611B2B"/>
    <w:rsid w:val="18665D95"/>
    <w:rsid w:val="188F7B75"/>
    <w:rsid w:val="18E845C5"/>
    <w:rsid w:val="19295233"/>
    <w:rsid w:val="19C176CF"/>
    <w:rsid w:val="19C66458"/>
    <w:rsid w:val="1A427F7D"/>
    <w:rsid w:val="1AC403E0"/>
    <w:rsid w:val="1AC66F8E"/>
    <w:rsid w:val="1B434036"/>
    <w:rsid w:val="1B4F33EC"/>
    <w:rsid w:val="1B765E75"/>
    <w:rsid w:val="1B8041FD"/>
    <w:rsid w:val="1C4B29B0"/>
    <w:rsid w:val="1C543D53"/>
    <w:rsid w:val="1DCC2190"/>
    <w:rsid w:val="1E0E3CEC"/>
    <w:rsid w:val="1E246A97"/>
    <w:rsid w:val="1E7E1981"/>
    <w:rsid w:val="1F081643"/>
    <w:rsid w:val="1FDA19FB"/>
    <w:rsid w:val="200935DC"/>
    <w:rsid w:val="206814FD"/>
    <w:rsid w:val="20C64A1E"/>
    <w:rsid w:val="20EC2133"/>
    <w:rsid w:val="20FB5C6F"/>
    <w:rsid w:val="21013697"/>
    <w:rsid w:val="2171516D"/>
    <w:rsid w:val="21DA70B8"/>
    <w:rsid w:val="21DF7E38"/>
    <w:rsid w:val="2207452E"/>
    <w:rsid w:val="220F251D"/>
    <w:rsid w:val="22712A2C"/>
    <w:rsid w:val="22977D4A"/>
    <w:rsid w:val="22E938B0"/>
    <w:rsid w:val="22FD3125"/>
    <w:rsid w:val="23727CD0"/>
    <w:rsid w:val="23945A72"/>
    <w:rsid w:val="23DF1901"/>
    <w:rsid w:val="240D6649"/>
    <w:rsid w:val="241B7F15"/>
    <w:rsid w:val="24964711"/>
    <w:rsid w:val="24D859AE"/>
    <w:rsid w:val="24F37810"/>
    <w:rsid w:val="252D6809"/>
    <w:rsid w:val="25485E80"/>
    <w:rsid w:val="259D1595"/>
    <w:rsid w:val="25B146CC"/>
    <w:rsid w:val="25DF6B72"/>
    <w:rsid w:val="263B78CF"/>
    <w:rsid w:val="2644262F"/>
    <w:rsid w:val="26672B42"/>
    <w:rsid w:val="26CF75BA"/>
    <w:rsid w:val="272B0385"/>
    <w:rsid w:val="272F5A50"/>
    <w:rsid w:val="27685E79"/>
    <w:rsid w:val="27B97E8D"/>
    <w:rsid w:val="27CA0CAB"/>
    <w:rsid w:val="28BD5493"/>
    <w:rsid w:val="28E7314A"/>
    <w:rsid w:val="28E750BB"/>
    <w:rsid w:val="290273F3"/>
    <w:rsid w:val="294560D8"/>
    <w:rsid w:val="297F6074"/>
    <w:rsid w:val="29F72AE8"/>
    <w:rsid w:val="2A0B496F"/>
    <w:rsid w:val="2A367E8D"/>
    <w:rsid w:val="2B8F3E3B"/>
    <w:rsid w:val="2BB57F18"/>
    <w:rsid w:val="2BED54AA"/>
    <w:rsid w:val="2C01177C"/>
    <w:rsid w:val="2D9177AD"/>
    <w:rsid w:val="2D98535F"/>
    <w:rsid w:val="2D9A572C"/>
    <w:rsid w:val="2EAA3276"/>
    <w:rsid w:val="2EB96CAB"/>
    <w:rsid w:val="2EBC2C33"/>
    <w:rsid w:val="2F01285B"/>
    <w:rsid w:val="2F5614BD"/>
    <w:rsid w:val="2F64349D"/>
    <w:rsid w:val="2FC709AD"/>
    <w:rsid w:val="2FFF34B3"/>
    <w:rsid w:val="30117141"/>
    <w:rsid w:val="301634AF"/>
    <w:rsid w:val="303B14B7"/>
    <w:rsid w:val="309E0133"/>
    <w:rsid w:val="312F1C8F"/>
    <w:rsid w:val="31410ADB"/>
    <w:rsid w:val="31AE616A"/>
    <w:rsid w:val="320A5E9F"/>
    <w:rsid w:val="322C0E36"/>
    <w:rsid w:val="322E174B"/>
    <w:rsid w:val="32FB7FC6"/>
    <w:rsid w:val="33831552"/>
    <w:rsid w:val="33875743"/>
    <w:rsid w:val="33A743DF"/>
    <w:rsid w:val="33C13BA1"/>
    <w:rsid w:val="344B49FF"/>
    <w:rsid w:val="344C157A"/>
    <w:rsid w:val="34B3770A"/>
    <w:rsid w:val="34FF4367"/>
    <w:rsid w:val="350A0A2B"/>
    <w:rsid w:val="35454ACD"/>
    <w:rsid w:val="35E37025"/>
    <w:rsid w:val="35EA1101"/>
    <w:rsid w:val="35EB0756"/>
    <w:rsid w:val="364C1B57"/>
    <w:rsid w:val="369C0825"/>
    <w:rsid w:val="369E377C"/>
    <w:rsid w:val="36F16073"/>
    <w:rsid w:val="371D20E3"/>
    <w:rsid w:val="373527DC"/>
    <w:rsid w:val="37A40015"/>
    <w:rsid w:val="38181E92"/>
    <w:rsid w:val="385D0C07"/>
    <w:rsid w:val="38645639"/>
    <w:rsid w:val="38CC5375"/>
    <w:rsid w:val="3A146709"/>
    <w:rsid w:val="3A1B20DA"/>
    <w:rsid w:val="3A200389"/>
    <w:rsid w:val="3A6C0903"/>
    <w:rsid w:val="3AD51DDA"/>
    <w:rsid w:val="3AF60AFB"/>
    <w:rsid w:val="3AFA5077"/>
    <w:rsid w:val="3B7031B2"/>
    <w:rsid w:val="3B770B56"/>
    <w:rsid w:val="3BC1660B"/>
    <w:rsid w:val="3C2E2361"/>
    <w:rsid w:val="3D005A45"/>
    <w:rsid w:val="3D4E4434"/>
    <w:rsid w:val="3D5C0252"/>
    <w:rsid w:val="3DD75AE4"/>
    <w:rsid w:val="3DE752B1"/>
    <w:rsid w:val="3E5962C4"/>
    <w:rsid w:val="3E757063"/>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4B40832"/>
    <w:rsid w:val="450822D5"/>
    <w:rsid w:val="452C1738"/>
    <w:rsid w:val="459D3BAC"/>
    <w:rsid w:val="45B15B6F"/>
    <w:rsid w:val="45C70991"/>
    <w:rsid w:val="46063600"/>
    <w:rsid w:val="46FE04A5"/>
    <w:rsid w:val="47413D83"/>
    <w:rsid w:val="47E23EBB"/>
    <w:rsid w:val="484375F2"/>
    <w:rsid w:val="48FE6C6E"/>
    <w:rsid w:val="4932086F"/>
    <w:rsid w:val="496804C3"/>
    <w:rsid w:val="49B33B65"/>
    <w:rsid w:val="49BE5F57"/>
    <w:rsid w:val="49D55CCC"/>
    <w:rsid w:val="4A092CEE"/>
    <w:rsid w:val="4A0F4C6E"/>
    <w:rsid w:val="4B171876"/>
    <w:rsid w:val="4B2D3BB3"/>
    <w:rsid w:val="4B7F2071"/>
    <w:rsid w:val="4B9F45FB"/>
    <w:rsid w:val="4C0A2CAF"/>
    <w:rsid w:val="4CAD3BFC"/>
    <w:rsid w:val="4CB2749C"/>
    <w:rsid w:val="4CF36C10"/>
    <w:rsid w:val="4D3F3966"/>
    <w:rsid w:val="4D6449EC"/>
    <w:rsid w:val="4D714B56"/>
    <w:rsid w:val="4DB869DC"/>
    <w:rsid w:val="4E8A3567"/>
    <w:rsid w:val="4EBB20E8"/>
    <w:rsid w:val="4ED6150F"/>
    <w:rsid w:val="4EF87A84"/>
    <w:rsid w:val="4F0C246E"/>
    <w:rsid w:val="4F27768C"/>
    <w:rsid w:val="4F320217"/>
    <w:rsid w:val="4F5B2592"/>
    <w:rsid w:val="4FCA59F0"/>
    <w:rsid w:val="501A2DA6"/>
    <w:rsid w:val="50206532"/>
    <w:rsid w:val="507913AF"/>
    <w:rsid w:val="50D52FBA"/>
    <w:rsid w:val="50E922F5"/>
    <w:rsid w:val="512C3BED"/>
    <w:rsid w:val="51535D1B"/>
    <w:rsid w:val="51C163D9"/>
    <w:rsid w:val="527049F9"/>
    <w:rsid w:val="52A54EA1"/>
    <w:rsid w:val="536C718F"/>
    <w:rsid w:val="53751EBA"/>
    <w:rsid w:val="53857FDF"/>
    <w:rsid w:val="539109E9"/>
    <w:rsid w:val="54182D6F"/>
    <w:rsid w:val="543B65E6"/>
    <w:rsid w:val="544C19ED"/>
    <w:rsid w:val="544D66DA"/>
    <w:rsid w:val="54987538"/>
    <w:rsid w:val="54CA7311"/>
    <w:rsid w:val="55F4617B"/>
    <w:rsid w:val="56C22E2C"/>
    <w:rsid w:val="56FB56AD"/>
    <w:rsid w:val="57BF307B"/>
    <w:rsid w:val="59184D5F"/>
    <w:rsid w:val="591B75F7"/>
    <w:rsid w:val="5945486B"/>
    <w:rsid w:val="59802FCB"/>
    <w:rsid w:val="5A087442"/>
    <w:rsid w:val="5A701228"/>
    <w:rsid w:val="5A736A40"/>
    <w:rsid w:val="5A946F21"/>
    <w:rsid w:val="5A9D7A40"/>
    <w:rsid w:val="5AE87E3F"/>
    <w:rsid w:val="5B156D38"/>
    <w:rsid w:val="5B282F95"/>
    <w:rsid w:val="5B702303"/>
    <w:rsid w:val="5B7511E7"/>
    <w:rsid w:val="5BC3356E"/>
    <w:rsid w:val="5BE85778"/>
    <w:rsid w:val="5C282774"/>
    <w:rsid w:val="5CED2007"/>
    <w:rsid w:val="5D082CDF"/>
    <w:rsid w:val="5DAC617B"/>
    <w:rsid w:val="5DB73809"/>
    <w:rsid w:val="5DE867AE"/>
    <w:rsid w:val="5E0C1D7C"/>
    <w:rsid w:val="5E681116"/>
    <w:rsid w:val="5ED86461"/>
    <w:rsid w:val="5EFE71D2"/>
    <w:rsid w:val="5F0F0FBD"/>
    <w:rsid w:val="5F1F592B"/>
    <w:rsid w:val="5F5E2CAF"/>
    <w:rsid w:val="5F726AFE"/>
    <w:rsid w:val="5FA540A4"/>
    <w:rsid w:val="5FC9335B"/>
    <w:rsid w:val="5FDE5B8E"/>
    <w:rsid w:val="5FE2657B"/>
    <w:rsid w:val="601F638E"/>
    <w:rsid w:val="60B078BF"/>
    <w:rsid w:val="60E2206D"/>
    <w:rsid w:val="610D1C2D"/>
    <w:rsid w:val="613A2E11"/>
    <w:rsid w:val="61AF38AA"/>
    <w:rsid w:val="61EB6FE8"/>
    <w:rsid w:val="621A2951"/>
    <w:rsid w:val="62210286"/>
    <w:rsid w:val="62754A86"/>
    <w:rsid w:val="627F35C8"/>
    <w:rsid w:val="62A941BD"/>
    <w:rsid w:val="62A97E1E"/>
    <w:rsid w:val="62FD704B"/>
    <w:rsid w:val="63B77699"/>
    <w:rsid w:val="63B84723"/>
    <w:rsid w:val="63F2579A"/>
    <w:rsid w:val="649A72EB"/>
    <w:rsid w:val="64BA1A0D"/>
    <w:rsid w:val="64CF125C"/>
    <w:rsid w:val="657764EA"/>
    <w:rsid w:val="65A65B15"/>
    <w:rsid w:val="65C46D71"/>
    <w:rsid w:val="65D74FB3"/>
    <w:rsid w:val="65F50571"/>
    <w:rsid w:val="66050144"/>
    <w:rsid w:val="661831AB"/>
    <w:rsid w:val="66483949"/>
    <w:rsid w:val="664A660B"/>
    <w:rsid w:val="66637A7C"/>
    <w:rsid w:val="668D6B97"/>
    <w:rsid w:val="672E6FB2"/>
    <w:rsid w:val="679276B1"/>
    <w:rsid w:val="67FE6C38"/>
    <w:rsid w:val="68472ABA"/>
    <w:rsid w:val="68BF2D88"/>
    <w:rsid w:val="69133681"/>
    <w:rsid w:val="692348B6"/>
    <w:rsid w:val="69761A44"/>
    <w:rsid w:val="69B81DD1"/>
    <w:rsid w:val="69CB2E9E"/>
    <w:rsid w:val="69E043F6"/>
    <w:rsid w:val="6A6B401A"/>
    <w:rsid w:val="6A710E26"/>
    <w:rsid w:val="6A9C5112"/>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B14834"/>
    <w:rsid w:val="6EC167E8"/>
    <w:rsid w:val="6F583F5A"/>
    <w:rsid w:val="6F7B7803"/>
    <w:rsid w:val="6F9852B0"/>
    <w:rsid w:val="700E3121"/>
    <w:rsid w:val="70F42CBC"/>
    <w:rsid w:val="7184039E"/>
    <w:rsid w:val="71D67EA4"/>
    <w:rsid w:val="71E421CB"/>
    <w:rsid w:val="72351068"/>
    <w:rsid w:val="726807DE"/>
    <w:rsid w:val="726D5F54"/>
    <w:rsid w:val="72803949"/>
    <w:rsid w:val="72DC770E"/>
    <w:rsid w:val="73C53520"/>
    <w:rsid w:val="73EB0E3A"/>
    <w:rsid w:val="745831D2"/>
    <w:rsid w:val="747A53D7"/>
    <w:rsid w:val="74944BF7"/>
    <w:rsid w:val="751355EF"/>
    <w:rsid w:val="7557659C"/>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E148C6"/>
    <w:rsid w:val="78F410AA"/>
    <w:rsid w:val="7905538F"/>
    <w:rsid w:val="793F6AEA"/>
    <w:rsid w:val="797C2F4C"/>
    <w:rsid w:val="798833E0"/>
    <w:rsid w:val="79914FB2"/>
    <w:rsid w:val="79BF118C"/>
    <w:rsid w:val="79E5652D"/>
    <w:rsid w:val="7A0803AC"/>
    <w:rsid w:val="7A0B546E"/>
    <w:rsid w:val="7B5D411E"/>
    <w:rsid w:val="7BE744BE"/>
    <w:rsid w:val="7BE8031C"/>
    <w:rsid w:val="7C3B7D69"/>
    <w:rsid w:val="7D111FAE"/>
    <w:rsid w:val="7D186EC0"/>
    <w:rsid w:val="7D817463"/>
    <w:rsid w:val="7DC71A4D"/>
    <w:rsid w:val="7DE7687B"/>
    <w:rsid w:val="7E1E409F"/>
    <w:rsid w:val="7E925178"/>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2026-08-12T06:46:00Z</cp:lastPrinted>
  <dcterms:modified xsi:type="dcterms:W3CDTF">2026-08-12T08:41:54Z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